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8EA8" w14:textId="77777777" w:rsidR="00E51B66" w:rsidRDefault="00E51B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99F735D" w14:textId="77777777" w:rsidR="00E51B66" w:rsidRDefault="00E51B66">
      <w:pPr>
        <w:pStyle w:val="ConsPlusNormal"/>
        <w:jc w:val="both"/>
        <w:outlineLvl w:val="0"/>
      </w:pPr>
    </w:p>
    <w:p w14:paraId="45197055" w14:textId="77777777" w:rsidR="00E51B66" w:rsidRDefault="00E51B66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14:paraId="7BF73388" w14:textId="77777777" w:rsidR="00E51B66" w:rsidRDefault="00E51B66">
      <w:pPr>
        <w:pStyle w:val="ConsPlusTitle"/>
        <w:jc w:val="center"/>
      </w:pPr>
    </w:p>
    <w:p w14:paraId="5580F39F" w14:textId="77777777" w:rsidR="00E51B66" w:rsidRDefault="00E51B66">
      <w:pPr>
        <w:pStyle w:val="ConsPlusTitle"/>
        <w:jc w:val="center"/>
      </w:pPr>
      <w:r>
        <w:t>ПОСТАНОВЛЕНИЕ</w:t>
      </w:r>
    </w:p>
    <w:p w14:paraId="4F0F077B" w14:textId="77777777" w:rsidR="00E51B66" w:rsidRDefault="00E51B66">
      <w:pPr>
        <w:pStyle w:val="ConsPlusTitle"/>
        <w:jc w:val="center"/>
      </w:pPr>
      <w:r>
        <w:t>от 14 июня 2021 г. N 83</w:t>
      </w:r>
    </w:p>
    <w:p w14:paraId="0E9EE908" w14:textId="77777777" w:rsidR="00E51B66" w:rsidRDefault="00E51B66">
      <w:pPr>
        <w:pStyle w:val="ConsPlusTitle"/>
        <w:ind w:firstLine="540"/>
        <w:jc w:val="both"/>
      </w:pPr>
    </w:p>
    <w:p w14:paraId="015E883D" w14:textId="77777777" w:rsidR="00E51B66" w:rsidRDefault="00E51B66">
      <w:pPr>
        <w:pStyle w:val="ConsPlusTitle"/>
        <w:jc w:val="center"/>
      </w:pPr>
      <w:r>
        <w:t>О МЕРАХ ПО ПРЕДОТВРАЩЕНИЮ ЗАВОЗА И РАСПРОСТРАНЕНИЯ НОВОЙ</w:t>
      </w:r>
    </w:p>
    <w:p w14:paraId="229D45B5" w14:textId="77777777" w:rsidR="00E51B66" w:rsidRDefault="00E51B66">
      <w:pPr>
        <w:pStyle w:val="ConsPlusTitle"/>
        <w:jc w:val="center"/>
      </w:pPr>
      <w:r>
        <w:t>КОРОНАВИРУСНОЙ ИНФЕКЦИИ, ВЫЗВАННОЙ COVID-19,</w:t>
      </w:r>
    </w:p>
    <w:p w14:paraId="0687F76B" w14:textId="77777777" w:rsidR="00E51B66" w:rsidRDefault="00E51B66">
      <w:pPr>
        <w:pStyle w:val="ConsPlusTitle"/>
        <w:jc w:val="center"/>
      </w:pPr>
      <w:r>
        <w:t>В ХАНТЫ-МАНСИЙСКОМ АВТОНОМНОМ ОКРУГЕ - ЮГРЕ</w:t>
      </w:r>
    </w:p>
    <w:p w14:paraId="292B6780" w14:textId="77777777" w:rsidR="00E51B66" w:rsidRDefault="00E51B66">
      <w:pPr>
        <w:pStyle w:val="ConsPlusNormal"/>
        <w:jc w:val="both"/>
      </w:pPr>
    </w:p>
    <w:p w14:paraId="012E6E5C" w14:textId="77777777" w:rsidR="00E51B66" w:rsidRDefault="00E51B66">
      <w:pPr>
        <w:pStyle w:val="ConsPlusNormal"/>
        <w:ind w:firstLine="540"/>
        <w:jc w:val="both"/>
      </w:pPr>
      <w:r>
        <w:t xml:space="preserve">В соответствии с Федеральными законами от 21 декабря 1994 года </w:t>
      </w:r>
      <w:hyperlink r:id="rId5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 марта 1999 года </w:t>
      </w:r>
      <w:hyperlink r:id="rId6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Законами Ханты-Мансийского автономного округа - Югры от 19 ноября 2001 года </w:t>
      </w:r>
      <w:hyperlink r:id="rId8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16 октября 2007 года </w:t>
      </w:r>
      <w:hyperlink r:id="rId9" w:history="1">
        <w:r>
          <w:rPr>
            <w:color w:val="0000FF"/>
          </w:rPr>
          <w:t>N 135-оз</w:t>
        </w:r>
      </w:hyperlink>
      <w:r>
        <w:t xml:space="preserve"> "О защите населения и территорий Ханты-Мансийского автономного округа - Югры от чрезвычайных ситуаций межмуниципального и регионального характера", учитывая согласование Управления Федеральной службы по надзору в сфере защиты прав потребителей и благополучия человека по Ханты-Мансийскому автономному округу - Югре от 13 июня 2021 года, постановляю:</w:t>
      </w:r>
    </w:p>
    <w:p w14:paraId="6D4C7AE0" w14:textId="77777777" w:rsidR="00E51B66" w:rsidRDefault="00E51B66">
      <w:pPr>
        <w:pStyle w:val="ConsPlusNormal"/>
        <w:spacing w:before="220"/>
        <w:ind w:firstLine="540"/>
        <w:jc w:val="both"/>
      </w:pPr>
      <w:r>
        <w:t xml:space="preserve">1. Гражданам в возрасте 65 лет и старше, гражданам, имеющим хронические заболевания, сниженный иммунитет, за исключением трудоустроенных и (или) прошедших вакцинацию от новой коронавирусной инфекции, вызванной COVID-19 (далее - COVID-19), соблюдать режим обязательной самоизоляции и не покидать место жительства (пребывания), за исключением случаев, указанных в </w:t>
      </w:r>
      <w:hyperlink w:anchor="P43" w:history="1">
        <w:r>
          <w:rPr>
            <w:color w:val="0000FF"/>
          </w:rPr>
          <w:t>приложении</w:t>
        </w:r>
      </w:hyperlink>
      <w:r>
        <w:t xml:space="preserve"> к настоящему постановлению.</w:t>
      </w:r>
    </w:p>
    <w:p w14:paraId="2A12D575" w14:textId="77777777" w:rsidR="00E51B66" w:rsidRDefault="00E51B66">
      <w:pPr>
        <w:pStyle w:val="ConsPlusNormal"/>
        <w:spacing w:before="220"/>
        <w:ind w:firstLine="540"/>
        <w:jc w:val="both"/>
      </w:pPr>
      <w:bookmarkStart w:id="0" w:name="P12"/>
      <w:bookmarkEnd w:id="0"/>
      <w:r>
        <w:t>2. Руководителям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подведомственных им учреждений:</w:t>
      </w:r>
    </w:p>
    <w:p w14:paraId="2F93AA51" w14:textId="77777777" w:rsidR="00E51B66" w:rsidRDefault="00E51B66">
      <w:pPr>
        <w:pStyle w:val="ConsPlusNormal"/>
        <w:spacing w:before="220"/>
        <w:ind w:firstLine="540"/>
        <w:jc w:val="both"/>
      </w:pPr>
      <w:r>
        <w:t>2.1. Перевести работающих у них граждан в возрасте 65 лет и старше, граждан, имеющих хронические заболевания, сниженный иммунитет, на дистанционную работу.</w:t>
      </w:r>
    </w:p>
    <w:p w14:paraId="4EF9C3D6" w14:textId="77777777" w:rsidR="00E51B66" w:rsidRDefault="00E51B66">
      <w:pPr>
        <w:pStyle w:val="ConsPlusNormal"/>
        <w:spacing w:before="220"/>
        <w:ind w:firstLine="540"/>
        <w:jc w:val="both"/>
      </w:pPr>
      <w:r>
        <w:t>2.2. Принять правовые акты, регламентирующие допуск на работу сотрудников, приступающих к исполнению обязанностей по прибытии из отпусков после 20 июня 2021 года в Ханты-Мансийский автономный округ - Югру из других регионов Российской Федерации, при соблюдении одного из следующих условий:</w:t>
      </w:r>
    </w:p>
    <w:p w14:paraId="5EDABD7C" w14:textId="77777777" w:rsidR="00E51B66" w:rsidRDefault="00E51B66">
      <w:pPr>
        <w:pStyle w:val="ConsPlusNormal"/>
        <w:spacing w:before="220"/>
        <w:ind w:firstLine="540"/>
        <w:jc w:val="both"/>
      </w:pPr>
      <w:r>
        <w:t>наличие результата теста на ПЦР-исследование, в том числе экспресс-методом, подтверждающего отсутствие COVID-19. Дата забора материала не должна превышать 3 дней со дня прибытия в Ханты-Мансийский автономный округ - Югру;</w:t>
      </w:r>
    </w:p>
    <w:p w14:paraId="08A42899" w14:textId="77777777" w:rsidR="00E51B66" w:rsidRDefault="00E51B66">
      <w:pPr>
        <w:pStyle w:val="ConsPlusNormal"/>
        <w:spacing w:before="220"/>
        <w:ind w:firstLine="540"/>
        <w:jc w:val="both"/>
      </w:pPr>
      <w:r>
        <w:t>наличие антител класса G (</w:t>
      </w:r>
      <w:proofErr w:type="spellStart"/>
      <w:r>
        <w:t>IgG</w:t>
      </w:r>
      <w:proofErr w:type="spellEnd"/>
      <w:r>
        <w:t>) к COVID-19. Срок действия такого результата исследования составляет 30 дней со дня сдачи биоматериала для проведения исследования;</w:t>
      </w:r>
    </w:p>
    <w:p w14:paraId="1CB6344D" w14:textId="77777777" w:rsidR="00E51B66" w:rsidRDefault="00E51B66">
      <w:pPr>
        <w:pStyle w:val="ConsPlusNormal"/>
        <w:spacing w:before="220"/>
        <w:ind w:firstLine="540"/>
        <w:jc w:val="both"/>
      </w:pPr>
      <w:r>
        <w:t>прохождение вакцинации от COVID-19.</w:t>
      </w:r>
    </w:p>
    <w:p w14:paraId="150122BA" w14:textId="77777777" w:rsidR="00E51B66" w:rsidRDefault="00E51B66">
      <w:pPr>
        <w:pStyle w:val="ConsPlusNormal"/>
        <w:spacing w:before="220"/>
        <w:ind w:firstLine="540"/>
        <w:jc w:val="both"/>
      </w:pPr>
      <w:r>
        <w:t>2.3. Не направлять в служебные командировки сотрудников до прохождения полного курса вакцинации от COVID-19, за исключением сотрудников, имеющих антитела класса G (</w:t>
      </w:r>
      <w:proofErr w:type="spellStart"/>
      <w:r>
        <w:t>IgG</w:t>
      </w:r>
      <w:proofErr w:type="spellEnd"/>
      <w:r>
        <w:t>) к COVID-19.</w:t>
      </w:r>
    </w:p>
    <w:p w14:paraId="679DE840" w14:textId="77777777" w:rsidR="00E51B66" w:rsidRDefault="00E51B66">
      <w:pPr>
        <w:pStyle w:val="ConsPlusNormal"/>
        <w:spacing w:before="220"/>
        <w:ind w:firstLine="540"/>
        <w:jc w:val="both"/>
      </w:pPr>
      <w:r>
        <w:lastRenderedPageBreak/>
        <w:t>3. Родителям (законным представителям) детей в возрасте до 14 лет не допускать их нахождение без своего сопровождения в торговых, торгово-развлекательных центрах, иных помещениях, в которых реализуются услуги в сфере торговли, и организациях общественного питания.</w:t>
      </w:r>
    </w:p>
    <w:p w14:paraId="2FE3BF4F" w14:textId="77777777" w:rsidR="00E51B66" w:rsidRDefault="00E51B66">
      <w:pPr>
        <w:pStyle w:val="ConsPlusNormal"/>
        <w:spacing w:before="220"/>
        <w:ind w:firstLine="540"/>
        <w:jc w:val="both"/>
      </w:pPr>
      <w:r>
        <w:t>4. Установить с 16 июня 2021 года:</w:t>
      </w:r>
    </w:p>
    <w:p w14:paraId="4F2F0E4B" w14:textId="77777777" w:rsidR="00E51B66" w:rsidRDefault="00E51B66">
      <w:pPr>
        <w:pStyle w:val="ConsPlusNormal"/>
        <w:spacing w:before="220"/>
        <w:ind w:firstLine="540"/>
        <w:jc w:val="both"/>
      </w:pPr>
      <w:r>
        <w:t>4.1. Запрет на проведение в Ханты-Мансийском автономном округе - Югре массовых мероприятий регионального и муниципального характера с числом участников более 20 человек (включая организаторов).</w:t>
      </w:r>
    </w:p>
    <w:p w14:paraId="5B442FDB" w14:textId="77777777" w:rsidR="00E51B66" w:rsidRDefault="00E51B66">
      <w:pPr>
        <w:pStyle w:val="ConsPlusNormal"/>
        <w:spacing w:before="220"/>
        <w:ind w:firstLine="540"/>
        <w:jc w:val="both"/>
      </w:pPr>
      <w:r>
        <w:t>4.2. Предоставление государственных услуг по государственной регистрации заключения брака, проводимой в торжественной обстановке с участием гостей (приглашенных), на открытом воздухе, либо в помещении органа записи актов гражданского состояния при условии одновременного нахождения в помещении не более 8 человек, включая сотрудника органа записи актов гражданского состояния, фотографа.</w:t>
      </w:r>
    </w:p>
    <w:p w14:paraId="61ECD1E1" w14:textId="77777777" w:rsidR="00E51B66" w:rsidRDefault="00E51B66">
      <w:pPr>
        <w:pStyle w:val="ConsPlusNormal"/>
        <w:spacing w:before="220"/>
        <w:ind w:firstLine="540"/>
        <w:jc w:val="both"/>
      </w:pPr>
      <w:r>
        <w:t>4.3. Осуществление деятельности лагерей с дневным пребыванием детей, лагерей труда и отдыха с дневным пребыванием детей с использованием дистанционных технологий при введении в них ограничительных мероприятий (карантина).</w:t>
      </w:r>
    </w:p>
    <w:p w14:paraId="553C7F1A" w14:textId="77777777" w:rsidR="00E51B66" w:rsidRDefault="00E51B66">
      <w:pPr>
        <w:pStyle w:val="ConsPlusNormal"/>
        <w:spacing w:before="220"/>
        <w:ind w:firstLine="540"/>
        <w:jc w:val="both"/>
      </w:pPr>
      <w:r>
        <w:t>5. Организациям независимо от организационно-правовой формы и форм собственности:</w:t>
      </w:r>
    </w:p>
    <w:p w14:paraId="0CE4E489" w14:textId="77777777" w:rsidR="00E51B66" w:rsidRDefault="00E51B66">
      <w:pPr>
        <w:pStyle w:val="ConsPlusNormal"/>
        <w:spacing w:before="220"/>
        <w:ind w:firstLine="540"/>
        <w:jc w:val="both"/>
      </w:pPr>
      <w:r>
        <w:t xml:space="preserve">5.1. Рекомендовать принять меры, предусмотренные </w:t>
      </w:r>
      <w:hyperlink w:anchor="P12" w:history="1">
        <w:r>
          <w:rPr>
            <w:color w:val="0000FF"/>
          </w:rPr>
          <w:t>пунктом 2</w:t>
        </w:r>
      </w:hyperlink>
      <w:r>
        <w:t xml:space="preserve"> настоящего постановления, а также предоставлять работникам, проходящим вакцинацию от COVID-19, дополнительный день отдыха с сохранением заработной платы в день прохождения вакцинации от COVID-19 и в день, следующий за днем вакцинации, или дополнительный день отпуска.</w:t>
      </w:r>
    </w:p>
    <w:p w14:paraId="44201850" w14:textId="77777777" w:rsidR="00E51B66" w:rsidRDefault="00E51B66">
      <w:pPr>
        <w:pStyle w:val="ConsPlusNormal"/>
        <w:spacing w:before="220"/>
        <w:ind w:firstLine="540"/>
        <w:jc w:val="both"/>
      </w:pPr>
      <w:r>
        <w:t>5.2. Ввести запрет использования гражданами аттракционов, принадлежащих указанным организациям.</w:t>
      </w:r>
    </w:p>
    <w:p w14:paraId="1E5185EA" w14:textId="77777777" w:rsidR="00E51B66" w:rsidRDefault="00E51B66">
      <w:pPr>
        <w:pStyle w:val="ConsPlusNormal"/>
        <w:spacing w:before="220"/>
        <w:ind w:firstLine="540"/>
        <w:jc w:val="both"/>
      </w:pPr>
      <w:r>
        <w:t>6. Рекомендовать профессиональным образовательным организациям, образовательным организациям высшего образования вне зависимости от формы собственности и ведомственной принадлежности организовать:</w:t>
      </w:r>
    </w:p>
    <w:p w14:paraId="388B151C" w14:textId="77777777" w:rsidR="00E51B66" w:rsidRDefault="00E51B66">
      <w:pPr>
        <w:pStyle w:val="ConsPlusNormal"/>
        <w:spacing w:before="220"/>
        <w:ind w:firstLine="540"/>
        <w:jc w:val="both"/>
      </w:pPr>
      <w:r>
        <w:t>6.1. Проведение промежуточной аттестации студентов (сессия), не требующей демонстрации практических навыков, с использованием дистанционных технологий.</w:t>
      </w:r>
    </w:p>
    <w:p w14:paraId="4AB5A85D" w14:textId="77777777" w:rsidR="00E51B66" w:rsidRDefault="00E51B66">
      <w:pPr>
        <w:pStyle w:val="ConsPlusNormal"/>
        <w:spacing w:before="220"/>
        <w:ind w:firstLine="540"/>
        <w:jc w:val="both"/>
      </w:pPr>
      <w:r>
        <w:t>6.2. Проведение итоговой аттестации студентов в очной форме с соблюдением социальной дистанции не менее 1,5 м, в соответствии с рекомендациями, установленными Федеральной службой по надзору в сфере защиты прав потребителей и благополучия человека.</w:t>
      </w:r>
    </w:p>
    <w:p w14:paraId="3608E5C8" w14:textId="77777777" w:rsidR="00E51B66" w:rsidRDefault="00E51B66">
      <w:pPr>
        <w:pStyle w:val="ConsPlusNormal"/>
        <w:spacing w:before="220"/>
        <w:ind w:firstLine="540"/>
        <w:jc w:val="both"/>
      </w:pPr>
      <w:r>
        <w:t>7. Департаменту социального развития Ханты-Мансийского автономного округа - Югры в срок до 18 июня 2021 года внести в Правительство Ханты-Мансийского автономного округа - Югры предложения по предоставлению гражданам пожилого возраста и инвалидам, признанным нуждающимися в социальном обслуживании в полустационарной форме в условиях дневного пребывания, прошедших вакцинацию от новой коронавирусной инфекции, вызванной COVID-19, одного курса социальной реабилитации сроком 21 день бесплатно, независимо от величины среднедушевого дохода получателя социальной услуги.</w:t>
      </w:r>
    </w:p>
    <w:p w14:paraId="0E63F603" w14:textId="77777777" w:rsidR="00E51B66" w:rsidRDefault="00E51B66">
      <w:pPr>
        <w:pStyle w:val="ConsPlusNormal"/>
        <w:spacing w:before="220"/>
        <w:ind w:firstLine="540"/>
        <w:jc w:val="both"/>
      </w:pPr>
      <w:r>
        <w:t>8. Правовые акты Ханты-Мансийского автономного округа - Югры, устанавливающие меры по предотвращению завоза и распространения COVID-19, действуют в части, не противоречащей настоящему постановлению.</w:t>
      </w:r>
    </w:p>
    <w:p w14:paraId="2BE18817" w14:textId="77777777" w:rsidR="00E51B66" w:rsidRDefault="00E51B66">
      <w:pPr>
        <w:pStyle w:val="ConsPlusNormal"/>
        <w:spacing w:before="220"/>
        <w:ind w:firstLine="540"/>
        <w:jc w:val="both"/>
      </w:pPr>
      <w:r>
        <w:t>9. Настоящее постановление вступает в силу со дня его подписания.</w:t>
      </w:r>
    </w:p>
    <w:p w14:paraId="062E9A46" w14:textId="77777777" w:rsidR="00E51B66" w:rsidRDefault="00E51B66">
      <w:pPr>
        <w:pStyle w:val="ConsPlusNormal"/>
        <w:jc w:val="both"/>
      </w:pPr>
    </w:p>
    <w:p w14:paraId="44E12095" w14:textId="77777777" w:rsidR="00E51B66" w:rsidRDefault="00E51B66">
      <w:pPr>
        <w:pStyle w:val="ConsPlusNormal"/>
        <w:jc w:val="right"/>
      </w:pPr>
      <w:r>
        <w:lastRenderedPageBreak/>
        <w:t>Губернатор</w:t>
      </w:r>
    </w:p>
    <w:p w14:paraId="0BABD3F7" w14:textId="77777777" w:rsidR="00E51B66" w:rsidRDefault="00E51B66">
      <w:pPr>
        <w:pStyle w:val="ConsPlusNormal"/>
        <w:jc w:val="right"/>
      </w:pPr>
      <w:r>
        <w:t>Ханты-Мансийского</w:t>
      </w:r>
    </w:p>
    <w:p w14:paraId="59EF6A6B" w14:textId="77777777" w:rsidR="00E51B66" w:rsidRDefault="00E51B66">
      <w:pPr>
        <w:pStyle w:val="ConsPlusNormal"/>
        <w:jc w:val="right"/>
      </w:pPr>
      <w:r>
        <w:t>автономного округа - Югры</w:t>
      </w:r>
    </w:p>
    <w:p w14:paraId="50D273D8" w14:textId="77777777" w:rsidR="00E51B66" w:rsidRDefault="00E51B66">
      <w:pPr>
        <w:pStyle w:val="ConsPlusNormal"/>
        <w:jc w:val="right"/>
      </w:pPr>
      <w:r>
        <w:t>Н.В.КОМАРОВА</w:t>
      </w:r>
    </w:p>
    <w:p w14:paraId="34B311AB" w14:textId="77777777" w:rsidR="00E51B66" w:rsidRDefault="00E51B66">
      <w:pPr>
        <w:pStyle w:val="ConsPlusNormal"/>
        <w:jc w:val="both"/>
      </w:pPr>
    </w:p>
    <w:p w14:paraId="54B98BAF" w14:textId="77777777" w:rsidR="00E51B66" w:rsidRDefault="00E51B66">
      <w:pPr>
        <w:pStyle w:val="ConsPlusNormal"/>
        <w:jc w:val="both"/>
      </w:pPr>
    </w:p>
    <w:p w14:paraId="6D30AC1C" w14:textId="77777777" w:rsidR="00E51B66" w:rsidRDefault="00E51B66">
      <w:pPr>
        <w:pStyle w:val="ConsPlusNormal"/>
        <w:jc w:val="both"/>
      </w:pPr>
    </w:p>
    <w:p w14:paraId="7F47B1D1" w14:textId="77777777" w:rsidR="00E51B66" w:rsidRDefault="00E51B66">
      <w:pPr>
        <w:pStyle w:val="ConsPlusNormal"/>
        <w:jc w:val="both"/>
      </w:pPr>
    </w:p>
    <w:p w14:paraId="7C7DA4AB" w14:textId="77777777" w:rsidR="00E51B66" w:rsidRDefault="00E51B66">
      <w:pPr>
        <w:pStyle w:val="ConsPlusNormal"/>
        <w:jc w:val="both"/>
      </w:pPr>
    </w:p>
    <w:p w14:paraId="7B233D29" w14:textId="77777777" w:rsidR="00E51B66" w:rsidRDefault="00E51B66">
      <w:pPr>
        <w:pStyle w:val="ConsPlusNormal"/>
        <w:jc w:val="right"/>
        <w:outlineLvl w:val="0"/>
      </w:pPr>
      <w:bookmarkStart w:id="1" w:name="P43"/>
      <w:bookmarkEnd w:id="1"/>
      <w:r>
        <w:t>Приложение</w:t>
      </w:r>
    </w:p>
    <w:p w14:paraId="11EE56A4" w14:textId="77777777" w:rsidR="00E51B66" w:rsidRDefault="00E51B66">
      <w:pPr>
        <w:pStyle w:val="ConsPlusNormal"/>
        <w:jc w:val="right"/>
      </w:pPr>
      <w:r>
        <w:t>к постановлению Губернатора</w:t>
      </w:r>
    </w:p>
    <w:p w14:paraId="7F7E9815" w14:textId="77777777" w:rsidR="00E51B66" w:rsidRDefault="00E51B66">
      <w:pPr>
        <w:pStyle w:val="ConsPlusNormal"/>
        <w:jc w:val="right"/>
      </w:pPr>
      <w:r>
        <w:t>Ханты-Мансийского</w:t>
      </w:r>
    </w:p>
    <w:p w14:paraId="369D5AE9" w14:textId="77777777" w:rsidR="00E51B66" w:rsidRDefault="00E51B66">
      <w:pPr>
        <w:pStyle w:val="ConsPlusNormal"/>
        <w:jc w:val="right"/>
      </w:pPr>
      <w:r>
        <w:t>автономного округа - Югры</w:t>
      </w:r>
    </w:p>
    <w:p w14:paraId="4DB56B18" w14:textId="77777777" w:rsidR="00E51B66" w:rsidRDefault="00E51B66">
      <w:pPr>
        <w:pStyle w:val="ConsPlusNormal"/>
        <w:jc w:val="right"/>
      </w:pPr>
      <w:r>
        <w:t>от 14 июня 2021 года N 83</w:t>
      </w:r>
    </w:p>
    <w:p w14:paraId="43DA5860" w14:textId="77777777" w:rsidR="00E51B66" w:rsidRDefault="00E51B66">
      <w:pPr>
        <w:pStyle w:val="ConsPlusNormal"/>
        <w:jc w:val="both"/>
      </w:pPr>
    </w:p>
    <w:p w14:paraId="2A7D40DB" w14:textId="77777777" w:rsidR="00E51B66" w:rsidRDefault="00E51B66">
      <w:pPr>
        <w:pStyle w:val="ConsPlusNormal"/>
        <w:ind w:firstLine="540"/>
        <w:jc w:val="both"/>
      </w:pPr>
      <w:r>
        <w:t>Граждане в возрасте 65 лет и старше, граждане, имеющие хронические заболевания, сниженный иммунитет, могут покидать места проживания (пребывания) в случаях:</w:t>
      </w:r>
    </w:p>
    <w:p w14:paraId="222DCD34" w14:textId="77777777" w:rsidR="00E51B66" w:rsidRDefault="00E51B66">
      <w:pPr>
        <w:pStyle w:val="ConsPlusNormal"/>
        <w:spacing w:before="220"/>
        <w:ind w:firstLine="540"/>
        <w:jc w:val="both"/>
      </w:pPr>
      <w:r>
        <w:t>обращения за медицинской помощью, иной прямой угрозы жизни и здоровью;</w:t>
      </w:r>
    </w:p>
    <w:p w14:paraId="52260DD8" w14:textId="77777777" w:rsidR="00E51B66" w:rsidRDefault="00E51B66">
      <w:pPr>
        <w:pStyle w:val="ConsPlusNormal"/>
        <w:spacing w:before="220"/>
        <w:ind w:firstLine="540"/>
        <w:jc w:val="both"/>
      </w:pPr>
      <w:r>
        <w:t>выгула домашних животных;</w:t>
      </w:r>
    </w:p>
    <w:p w14:paraId="18EDFC06" w14:textId="77777777" w:rsidR="00E51B66" w:rsidRDefault="00E51B66">
      <w:pPr>
        <w:pStyle w:val="ConsPlusNormal"/>
        <w:spacing w:before="220"/>
        <w:ind w:firstLine="540"/>
        <w:jc w:val="both"/>
      </w:pPr>
      <w:r>
        <w:t>доставки твердых коммунальных отходов до ближайшего места их накопления;</w:t>
      </w:r>
    </w:p>
    <w:p w14:paraId="7CEA42E0" w14:textId="77777777" w:rsidR="00E51B66" w:rsidRDefault="00E51B66">
      <w:pPr>
        <w:pStyle w:val="ConsPlusNormal"/>
        <w:spacing w:before="220"/>
        <w:ind w:firstLine="540"/>
        <w:jc w:val="both"/>
      </w:pPr>
      <w:r>
        <w:t>оказания помощи близким родственникам старше 60 лет, а также страдающим хроническими заболеваниями;</w:t>
      </w:r>
    </w:p>
    <w:p w14:paraId="42147D44" w14:textId="77777777" w:rsidR="00E51B66" w:rsidRDefault="00E51B66">
      <w:pPr>
        <w:pStyle w:val="ConsPlusNormal"/>
        <w:spacing w:before="220"/>
        <w:ind w:firstLine="540"/>
        <w:jc w:val="both"/>
      </w:pPr>
      <w:r>
        <w:t>следования:</w:t>
      </w:r>
    </w:p>
    <w:p w14:paraId="27167724" w14:textId="77777777" w:rsidR="00E51B66" w:rsidRDefault="00E51B66">
      <w:pPr>
        <w:pStyle w:val="ConsPlusNormal"/>
        <w:spacing w:before="220"/>
        <w:ind w:firstLine="540"/>
        <w:jc w:val="both"/>
      </w:pPr>
      <w:r>
        <w:t xml:space="preserve">в аптечные организации, к объектам розничной торговли, реализующим продовольственные товары и (или) непродовольственные товары первой необходимости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>, утвержденным распоряжением Правительства Российской Федерации от 27 марта 2020 года N 762-р;</w:t>
      </w:r>
    </w:p>
    <w:p w14:paraId="23E566F6" w14:textId="77777777" w:rsidR="00E51B66" w:rsidRDefault="00E51B66">
      <w:pPr>
        <w:pStyle w:val="ConsPlusNormal"/>
        <w:spacing w:before="220"/>
        <w:ind w:firstLine="540"/>
        <w:jc w:val="both"/>
      </w:pPr>
      <w:r>
        <w:t>в ветеринарные клиники для получения неотложных услуг и организации, осуществляющие уход за животными без их владельцев;</w:t>
      </w:r>
    </w:p>
    <w:p w14:paraId="32ABBEC3" w14:textId="77777777" w:rsidR="00E51B66" w:rsidRDefault="00E51B66">
      <w:pPr>
        <w:pStyle w:val="ConsPlusNormal"/>
        <w:spacing w:before="220"/>
        <w:ind w:firstLine="540"/>
        <w:jc w:val="both"/>
      </w:pPr>
      <w:r>
        <w:t>в страховые организации;</w:t>
      </w:r>
    </w:p>
    <w:p w14:paraId="01C21F0D" w14:textId="77777777" w:rsidR="00E51B66" w:rsidRDefault="00E51B66">
      <w:pPr>
        <w:pStyle w:val="ConsPlusNormal"/>
        <w:spacing w:before="220"/>
        <w:ind w:firstLine="540"/>
        <w:jc w:val="both"/>
      </w:pPr>
      <w:r>
        <w:t>в нотариальные конторы, оказывающие нотариальные услуги в качестве "дежурных нотариальных контор";</w:t>
      </w:r>
    </w:p>
    <w:p w14:paraId="0F2DF1E5" w14:textId="77777777" w:rsidR="00E51B66" w:rsidRDefault="00E51B66">
      <w:pPr>
        <w:pStyle w:val="ConsPlusNormal"/>
        <w:spacing w:before="220"/>
        <w:ind w:firstLine="540"/>
        <w:jc w:val="both"/>
      </w:pPr>
      <w:r>
        <w:t>адвокатские организации;</w:t>
      </w:r>
    </w:p>
    <w:p w14:paraId="70A58C32" w14:textId="77777777" w:rsidR="00E51B66" w:rsidRDefault="00E51B66">
      <w:pPr>
        <w:pStyle w:val="ConsPlusNormal"/>
        <w:spacing w:before="220"/>
        <w:ind w:firstLine="540"/>
        <w:jc w:val="both"/>
      </w:pPr>
      <w:r>
        <w:t>к организациям, индивидуальным предпринимателям, осуществляющим шиномонтажную, авторемонтную деятельность, мойку автомобилей и оказывающим сопутствующие услуги, ремонт бытовой техники, ремонт средств связи, включая сотовые телефоны, - по предварительной записи, неотложные ремонтные работы;</w:t>
      </w:r>
    </w:p>
    <w:p w14:paraId="1A005F3D" w14:textId="77777777" w:rsidR="00E51B66" w:rsidRDefault="00E51B66">
      <w:pPr>
        <w:pStyle w:val="ConsPlusNormal"/>
        <w:spacing w:before="220"/>
        <w:ind w:firstLine="540"/>
        <w:jc w:val="both"/>
      </w:pPr>
      <w:r>
        <w:t>в многофункциональные центры предоставления государственных и муниципальных услуг и их структурные подразделения, расположенные в автономном округе, для получения по предварительной записи государственных (муниципальных) услуг;</w:t>
      </w:r>
    </w:p>
    <w:p w14:paraId="1B52716B" w14:textId="77777777" w:rsidR="00E51B66" w:rsidRDefault="00E51B66">
      <w:pPr>
        <w:pStyle w:val="ConsPlusNormal"/>
        <w:spacing w:before="220"/>
        <w:ind w:firstLine="540"/>
        <w:jc w:val="both"/>
      </w:pPr>
      <w:r>
        <w:t>в организации, осуществляющие поддержку предпринимателей, в кредитные организации;</w:t>
      </w:r>
    </w:p>
    <w:p w14:paraId="44D5C992" w14:textId="77777777" w:rsidR="00E51B66" w:rsidRDefault="00E51B66">
      <w:pPr>
        <w:pStyle w:val="ConsPlusNormal"/>
        <w:spacing w:before="220"/>
        <w:ind w:firstLine="540"/>
        <w:jc w:val="both"/>
      </w:pPr>
      <w:r>
        <w:t xml:space="preserve">к организациям, индивидуальным предпринимателям, изготавливающим фото для </w:t>
      </w:r>
      <w:r>
        <w:lastRenderedPageBreak/>
        <w:t>документов;</w:t>
      </w:r>
    </w:p>
    <w:p w14:paraId="58A2CC9D" w14:textId="77777777" w:rsidR="00E51B66" w:rsidRDefault="00E51B66">
      <w:pPr>
        <w:pStyle w:val="ConsPlusNormal"/>
        <w:spacing w:before="220"/>
        <w:ind w:firstLine="540"/>
        <w:jc w:val="both"/>
      </w:pPr>
      <w:r>
        <w:t>к организациям, индивидуальным предпринимателям, осуществляющим ритуальные услуги;</w:t>
      </w:r>
    </w:p>
    <w:p w14:paraId="7890966C" w14:textId="77777777" w:rsidR="00E51B66" w:rsidRDefault="00E51B66">
      <w:pPr>
        <w:pStyle w:val="ConsPlusNormal"/>
        <w:spacing w:before="220"/>
        <w:ind w:firstLine="540"/>
        <w:jc w:val="both"/>
      </w:pPr>
      <w:r>
        <w:t>к организациям, индивидуальным предпринимателям, осуществляющим продажу очков, линз и их частей;</w:t>
      </w:r>
    </w:p>
    <w:p w14:paraId="5DE7A2F2" w14:textId="77777777" w:rsidR="00E51B66" w:rsidRDefault="00E51B66">
      <w:pPr>
        <w:pStyle w:val="ConsPlusNormal"/>
        <w:spacing w:before="220"/>
        <w:ind w:firstLine="540"/>
        <w:jc w:val="both"/>
      </w:pPr>
      <w:r>
        <w:t>к организациям, индивидуальным предпринимателям, осуществляющим продажу средств связи, включая сотовые телефоны;</w:t>
      </w:r>
    </w:p>
    <w:p w14:paraId="1A63058B" w14:textId="77777777" w:rsidR="00E51B66" w:rsidRDefault="00E51B66">
      <w:pPr>
        <w:pStyle w:val="ConsPlusNormal"/>
        <w:spacing w:before="220"/>
        <w:ind w:firstLine="540"/>
        <w:jc w:val="both"/>
      </w:pPr>
      <w:r>
        <w:t>в организации сферы расчетно-кассового обслуживания населения;</w:t>
      </w:r>
    </w:p>
    <w:p w14:paraId="63D860FD" w14:textId="77777777" w:rsidR="00E51B66" w:rsidRDefault="00E51B66">
      <w:pPr>
        <w:pStyle w:val="ConsPlusNormal"/>
        <w:spacing w:before="220"/>
        <w:ind w:firstLine="540"/>
        <w:jc w:val="both"/>
      </w:pPr>
      <w:r>
        <w:t>от места проживания (пребывания) к загородным жилым строениям, дачным и садовым участкам (или в обратном направлении);</w:t>
      </w:r>
    </w:p>
    <w:p w14:paraId="7F0DAC4A" w14:textId="77777777" w:rsidR="00E51B66" w:rsidRDefault="00E51B66">
      <w:pPr>
        <w:pStyle w:val="ConsPlusNormal"/>
        <w:spacing w:before="220"/>
        <w:ind w:firstLine="540"/>
        <w:jc w:val="both"/>
      </w:pPr>
      <w:r>
        <w:t>в помещения органов государственной власти автономного округа, органов местного самоуправления муниципальных образований автономного округа и государственных (муниципальных) учреждений автономного округа, организаций автономного округа, предоставляющих государственные (муниципальные) услуги, для получения по предварительной записи государственных (муниципальных) услуг;</w:t>
      </w:r>
    </w:p>
    <w:p w14:paraId="4A977FAE" w14:textId="77777777" w:rsidR="00E51B66" w:rsidRDefault="00E51B66">
      <w:pPr>
        <w:pStyle w:val="ConsPlusNormal"/>
        <w:spacing w:before="220"/>
        <w:ind w:firstLine="540"/>
        <w:jc w:val="both"/>
      </w:pPr>
      <w:r>
        <w:t>в организации для прохождения собеседования с целью трудоустройства (заключения трудового договора) при отсутствии технической возможности его проведения с использованием дистанционных методов;</w:t>
      </w:r>
    </w:p>
    <w:p w14:paraId="310A0629" w14:textId="77777777" w:rsidR="00E51B66" w:rsidRDefault="00E51B66">
      <w:pPr>
        <w:pStyle w:val="ConsPlusNormal"/>
        <w:spacing w:before="220"/>
        <w:ind w:firstLine="540"/>
        <w:jc w:val="both"/>
      </w:pPr>
      <w:r>
        <w:t>в организации, реализующие программы обучения водителей транспортных средств категорий "B", "C", "CE", "D", "DE", для прохождения индивидуального практического занятия;</w:t>
      </w:r>
    </w:p>
    <w:p w14:paraId="689B2577" w14:textId="77777777" w:rsidR="00E51B66" w:rsidRDefault="00E51B66">
      <w:pPr>
        <w:pStyle w:val="ConsPlusNormal"/>
        <w:spacing w:before="220"/>
        <w:ind w:firstLine="540"/>
        <w:jc w:val="both"/>
      </w:pPr>
      <w:r>
        <w:t>к организациям, индивидуальным предпринимателям, осуществляющим технический осмотр транспортных средств по предварительной записи;</w:t>
      </w:r>
    </w:p>
    <w:p w14:paraId="22F92684" w14:textId="77777777" w:rsidR="00E51B66" w:rsidRDefault="00E51B66">
      <w:pPr>
        <w:pStyle w:val="ConsPlusNormal"/>
        <w:spacing w:before="220"/>
        <w:ind w:firstLine="540"/>
        <w:jc w:val="both"/>
      </w:pPr>
      <w:r>
        <w:t>в целях получения водительского удостоверения после прохождения профессионального обучения на право управления транспортными средствами, в том числе в целях сдачи соответствующего экзамена;</w:t>
      </w:r>
    </w:p>
    <w:p w14:paraId="4B475917" w14:textId="77777777" w:rsidR="00E51B66" w:rsidRDefault="00E51B66">
      <w:pPr>
        <w:pStyle w:val="ConsPlusNormal"/>
        <w:spacing w:before="220"/>
        <w:ind w:firstLine="540"/>
        <w:jc w:val="both"/>
      </w:pPr>
      <w:r>
        <w:t>для посещения гражданами призывного возраста учреждений, организаций по вопросам, связанным с их призывом на военную службу;</w:t>
      </w:r>
    </w:p>
    <w:p w14:paraId="0B31979B" w14:textId="77777777" w:rsidR="00E51B66" w:rsidRDefault="00E51B66">
      <w:pPr>
        <w:pStyle w:val="ConsPlusNormal"/>
        <w:spacing w:before="220"/>
        <w:ind w:firstLine="540"/>
        <w:jc w:val="both"/>
      </w:pPr>
      <w:r>
        <w:t>для посещения гражданами, являющимися донорами, центра заготовки гемопоэтических стволовых клеток, центра крови, станций и отделений переливания крови в целях сдачи крови и ее компонентов.</w:t>
      </w:r>
    </w:p>
    <w:p w14:paraId="0891DD65" w14:textId="77777777" w:rsidR="00E51B66" w:rsidRDefault="00E51B66">
      <w:pPr>
        <w:pStyle w:val="ConsPlusNormal"/>
        <w:jc w:val="both"/>
      </w:pPr>
    </w:p>
    <w:p w14:paraId="5EE71520" w14:textId="77777777" w:rsidR="00E51B66" w:rsidRDefault="00E51B66">
      <w:pPr>
        <w:pStyle w:val="ConsPlusNormal"/>
        <w:jc w:val="both"/>
      </w:pPr>
    </w:p>
    <w:p w14:paraId="6222579F" w14:textId="77777777" w:rsidR="00E51B66" w:rsidRDefault="00E51B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4775BC" w14:textId="10336535" w:rsidR="00884C63" w:rsidRDefault="00AB1E2B">
      <w:r>
        <w:t>т</w:t>
      </w:r>
    </w:p>
    <w:sectPr w:rsidR="00884C63" w:rsidSect="009242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66"/>
    <w:rsid w:val="00884C63"/>
    <w:rsid w:val="00AB1E2B"/>
    <w:rsid w:val="00E5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DD42"/>
  <w15:chartTrackingRefBased/>
  <w15:docId w15:val="{41BCFE5A-5C37-40F2-A8AF-B67F3BBC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B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56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2133&amp;dst=10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728&amp;dst=1001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7224&amp;dst=100255" TargetMode="External"/><Relationship Id="rId10" Type="http://schemas.openxmlformats.org/officeDocument/2006/relationships/hyperlink" Target="https://login.consultant.ru/link/?req=doc&amp;base=LAW&amp;n=362622&amp;dst=10003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22212&amp;dst=1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Новицкий В.О.</dc:creator>
  <cp:keywords/>
  <dc:description/>
  <cp:lastModifiedBy>Новицкий В.О.</cp:lastModifiedBy>
  <cp:revision>2</cp:revision>
  <dcterms:created xsi:type="dcterms:W3CDTF">2021-08-12T05:00:00Z</dcterms:created>
  <dcterms:modified xsi:type="dcterms:W3CDTF">2021-08-12T05:00:00Z</dcterms:modified>
</cp:coreProperties>
</file>